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spacing w:line="1800" w:lineRule="exact"/>
        <w:jc w:val="center"/>
        <w:rPr>
          <w:rFonts w:ascii="Times New Roman" w:hAnsi="Times New Roman" w:eastAsia="方正小标宋简体"/>
          <w:color w:val="FF0000"/>
          <w:w w:val="50"/>
          <w:sz w:val="140"/>
          <w:szCs w:val="140"/>
        </w:rPr>
      </w:pPr>
      <w:r>
        <w:rPr>
          <w:rFonts w:ascii="Times New Roman" w:eastAsia="方正小标宋简体"/>
          <w:color w:val="FF0000"/>
          <w:w w:val="50"/>
          <w:sz w:val="140"/>
          <w:szCs w:val="140"/>
        </w:rPr>
        <w:t>乐至县人民政府</w:t>
      </w:r>
      <w:r>
        <w:rPr>
          <w:rFonts w:hint="eastAsia" w:ascii="Times New Roman" w:eastAsia="方正小标宋简体"/>
          <w:color w:val="FF0000"/>
          <w:w w:val="50"/>
          <w:sz w:val="140"/>
          <w:szCs w:val="140"/>
          <w:lang w:eastAsia="zh-CN"/>
        </w:rPr>
        <w:t>办公室</w:t>
      </w:r>
      <w:r>
        <w:rPr>
          <w:rFonts w:ascii="Times New Roman" w:eastAsia="方正小标宋简体"/>
          <w:color w:val="FF0000"/>
          <w:w w:val="50"/>
          <w:sz w:val="140"/>
          <w:szCs w:val="140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乐府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办规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73660</wp:posOffset>
                </wp:positionV>
                <wp:extent cx="5615940" cy="0"/>
                <wp:effectExtent l="0" t="13970" r="381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5.8pt;height:0pt;width:442.2pt;z-index:251666432;mso-width-relative:page;mso-height-relative:page;" filled="f" stroked="t" coordsize="21600,21600" o:gfxdata="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Immz4HUAAAABgEAAA8AAAAAAAAAAQAgAAAAOAAAAGRycy9kb3ducmV2LnhtbFBLAQIU&#10;ABQAAAAIAIdO4kCJyY0K4QEAAJoDAAAOAAAAAAAAAAEAIAAAADk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  <w:lang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  <w:lang w:eastAsia="zh-CN"/>
        </w:rPr>
        <w:t>乐至县人民政府办公室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关于印发《乐至县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房票制安置工作实施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试行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》的通知</w:t>
      </w:r>
    </w:p>
    <w:p>
      <w:pPr>
        <w:spacing w:line="560" w:lineRule="exact"/>
        <w:jc w:val="both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>
      <w:pPr>
        <w:spacing w:line="560" w:lineRule="exact"/>
        <w:ind w:left="640" w:hanging="640" w:hangingChars="200"/>
        <w:jc w:val="both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Style w:val="14"/>
          <w:rFonts w:hint="default" w:ascii="Times New Roman" w:hAnsi="Times New Roman" w:eastAsia="方正仿宋简体" w:cs="Times New Roman"/>
          <w:spacing w:val="0"/>
          <w:lang w:eastAsia="zh-CN"/>
        </w:rPr>
        <w:t>各乡镇人民政府、街道办事处，</w:t>
      </w:r>
      <w:r>
        <w:rPr>
          <w:rStyle w:val="14"/>
          <w:rFonts w:hint="default" w:ascii="Times New Roman" w:hAnsi="Times New Roman" w:eastAsia="方正仿宋简体" w:cs="Times New Roman"/>
          <w:spacing w:val="0"/>
        </w:rPr>
        <w:t>县级</w:t>
      </w:r>
      <w:r>
        <w:rPr>
          <w:rStyle w:val="14"/>
          <w:rFonts w:hint="default" w:ascii="Times New Roman" w:hAnsi="Times New Roman" w:eastAsia="方正仿宋简体" w:cs="Times New Roman"/>
          <w:spacing w:val="0"/>
          <w:lang w:eastAsia="zh-CN"/>
        </w:rPr>
        <w:t>有</w:t>
      </w:r>
      <w:r>
        <w:rPr>
          <w:rStyle w:val="14"/>
          <w:rFonts w:hint="default" w:ascii="Times New Roman" w:hAnsi="Times New Roman" w:eastAsia="方正仿宋简体" w:cs="Times New Roman"/>
          <w:spacing w:val="0"/>
        </w:rPr>
        <w:t>关</w:t>
      </w:r>
      <w:r>
        <w:rPr>
          <w:rStyle w:val="14"/>
          <w:rFonts w:hint="default" w:ascii="Times New Roman" w:hAnsi="Times New Roman" w:eastAsia="方正仿宋简体" w:cs="Times New Roman"/>
          <w:spacing w:val="0"/>
          <w:lang w:eastAsia="zh-CN"/>
        </w:rPr>
        <w:t>部门</w:t>
      </w:r>
      <w:r>
        <w:rPr>
          <w:rStyle w:val="14"/>
          <w:rFonts w:hint="eastAsia" w:ascii="Times New Roman" w:hAnsi="Times New Roman" w:eastAsia="方正仿宋简体" w:cs="Times New Roman"/>
          <w:spacing w:val="0"/>
          <w:lang w:eastAsia="zh-CN"/>
        </w:rPr>
        <w:t>（</w:t>
      </w:r>
      <w:r>
        <w:rPr>
          <w:rStyle w:val="14"/>
          <w:rFonts w:hint="default" w:ascii="Times New Roman" w:hAnsi="Times New Roman" w:eastAsia="方正仿宋简体" w:cs="Times New Roman"/>
          <w:spacing w:val="0"/>
          <w:lang w:eastAsia="zh-CN"/>
        </w:rPr>
        <w:t>单位</w:t>
      </w:r>
      <w:r>
        <w:rPr>
          <w:rStyle w:val="14"/>
          <w:rFonts w:hint="eastAsia" w:ascii="Times New Roman" w:hAnsi="Times New Roman" w:eastAsia="方正仿宋简体" w:cs="Times New Roman"/>
          <w:spacing w:val="0"/>
          <w:lang w:eastAsia="zh-CN"/>
        </w:rPr>
        <w:t>）</w:t>
      </w:r>
      <w:r>
        <w:rPr>
          <w:rStyle w:val="14"/>
          <w:rFonts w:hint="default" w:ascii="Times New Roman" w:hAnsi="Times New Roman" w:eastAsia="方正仿宋简体" w:cs="Times New Roman"/>
          <w:spacing w:val="0"/>
        </w:rPr>
        <w:t>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</w:pPr>
      <w:r>
        <w:rPr>
          <w:rStyle w:val="14"/>
          <w:rFonts w:hint="default" w:ascii="Times New Roman" w:hAnsi="Times New Roman" w:eastAsia="方正仿宋简体" w:cs="Times New Roman"/>
          <w:spacing w:val="0"/>
        </w:rPr>
        <w:t>经县政府同意，现将《乐至县</w:t>
      </w:r>
      <w:r>
        <w:rPr>
          <w:rStyle w:val="14"/>
          <w:rFonts w:hint="eastAsia" w:ascii="Times New Roman" w:hAnsi="Times New Roman" w:eastAsia="方正仿宋简体" w:cs="Times New Roman"/>
          <w:spacing w:val="0"/>
          <w:lang w:val="en-US" w:eastAsia="zh-CN"/>
        </w:rPr>
        <w:t>房票制安置工作实施</w:t>
      </w:r>
      <w:r>
        <w:rPr>
          <w:rStyle w:val="14"/>
          <w:rFonts w:hint="default" w:ascii="Times New Roman" w:hAnsi="Times New Roman" w:eastAsia="方正仿宋简体" w:cs="Times New Roman"/>
          <w:spacing w:val="0"/>
        </w:rPr>
        <w:t>办法（</w:t>
      </w:r>
      <w:r>
        <w:rPr>
          <w:rStyle w:val="14"/>
          <w:rFonts w:hint="eastAsia" w:ascii="Times New Roman" w:hAnsi="Times New Roman" w:eastAsia="方正仿宋简体" w:cs="Times New Roman"/>
          <w:spacing w:val="0"/>
          <w:lang w:val="en-US" w:eastAsia="zh-CN"/>
        </w:rPr>
        <w:t>试行</w:t>
      </w:r>
      <w:r>
        <w:rPr>
          <w:rStyle w:val="14"/>
          <w:rFonts w:hint="default" w:ascii="Times New Roman" w:hAnsi="Times New Roman" w:eastAsia="方正仿宋简体" w:cs="Times New Roman"/>
          <w:spacing w:val="0"/>
        </w:rPr>
        <w:t>）》印发你们，请</w:t>
      </w:r>
      <w:r>
        <w:rPr>
          <w:rStyle w:val="14"/>
          <w:rFonts w:hint="default" w:ascii="Times New Roman" w:hAnsi="Times New Roman" w:eastAsia="方正仿宋简体" w:cs="Times New Roman"/>
          <w:spacing w:val="0"/>
          <w:lang w:eastAsia="zh-CN"/>
        </w:rPr>
        <w:t>认真贯彻执行</w:t>
      </w:r>
      <w:r>
        <w:rPr>
          <w:rStyle w:val="14"/>
          <w:rFonts w:hint="default" w:ascii="Times New Roman" w:hAnsi="Times New Roman" w:eastAsia="方正仿宋简体" w:cs="Times New Roman"/>
          <w:spacing w:val="0"/>
        </w:rPr>
        <w:t>。</w:t>
      </w:r>
    </w:p>
    <w:p>
      <w:pPr>
        <w:spacing w:line="560" w:lineRule="exact"/>
        <w:jc w:val="both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default" w:ascii="Times New Roman" w:hAnsi="Times New Roman" w:eastAsia="仿宋" w:cs="Times New Roman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乐至县人民政府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办公室   </w:t>
      </w:r>
    </w:p>
    <w:p>
      <w:pPr>
        <w:wordWrap/>
        <w:spacing w:line="560" w:lineRule="exact"/>
        <w:ind w:firstLine="5440" w:firstLineChars="1700"/>
        <w:jc w:val="both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 xml:space="preserve">日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</w:rPr>
        <w:t>乐至县房票制安置工作实施办法（试行）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firstLine="642" w:firstLineChars="200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第一章  总 则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第一条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 xml:space="preserve">  为进一步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丰富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我县房屋征收补偿安置方式，满足被征收人多元化安置需求，化解安置遗留问题，切实改善被征收人的居住条件，根据《中华人民共和国土地管理法》《中华人民共和国土地管理法实施条例》《国有土地上房屋征收与补偿条例》《四川省国有土地上房屋征收与补偿条例》《最高人民法院关于审理涉及农村集体土地行政案件若干问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shd w:val="clear" w:color="auto" w:fill="FFFFFF"/>
        </w:rPr>
        <w:t>题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规定》（法释〔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</w:rPr>
        <w:t>2011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号）等相关法律法规和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政策规定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，结合我县实际，特制定本办法。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第二条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本办法适用于乐至县县城规划区内的房屋征收。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已启动安置房建设的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安置对象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不纳入房票安置范围。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第三条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房票安置工作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由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县房屋征收部门牵头组织实施，相关单位配合。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第二章  安置方式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第四条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房票安置是按照我县现行房屋征收补偿安置政策，将相应的安置补偿权益和相关激励货币量化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后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，以房票形式核发给被征收人，由被征收人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自愿选择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购买房源池的商品房的征收补偿安置方式。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第五条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房票即《房票价款确认书》，作为县房屋征收部门出具给被征收人自行购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买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商品房的资金结算凭证，由县房屋征收部门统一制定。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第三章  房源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池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第六条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房源池由县住建部门牵头，通过公开方式征集，根据相关要求，按程序审核确定并公示。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第七条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申请进入房源池的开发企业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须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无不良信用信息，且符合银行贷款准入条件。纳入房源池的房屋应为已办理综合竣工验收备案的未售房屋，开发企业应向县住建部门提交申请，并按要求报送“一房一价”备案表。房源池以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</w:rPr>
        <w:t>6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个月为周期，周期内企业报价为最高限价，企业须遵守相关申请事项承诺，否则将取消房源池资格并限制下一轮申请。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第八条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被征收人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可自行选择房源池的房屋，并与开发企业自主协商房价，开发企业在协商价格的基础上按照承诺再给予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被征收人不低于3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</w:rPr>
        <w:t>%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的优惠。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第四章  房票核算方式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第九条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房票分为新征收安置对象和已征收未安置对象两种方式进行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核算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 xml:space="preserve">第十条 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新征收安置对象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房票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金额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由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以下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两个部分组成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（一）货币补偿资金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按照我县现行房屋征收补偿安置政策进行核算。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具体包括：房屋评估价值、装饰装修补偿、附属物补偿（含林木包干补偿）、临时安置补偿、停产停业损失补偿、搬迁补偿、签约奖励、搬迁奖励、全合法奖、货币补偿奖、住保补助、放弃营业用房补助、物业补助、住改非经营补助14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（二）房票奖补资金。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按货币补偿资金的20%进行核算。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第十一条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已征收未安置对象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房票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金额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由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以下三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个部分组成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（一）货币补偿资金。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根据原协议载明的房屋结构和面积，按照砖混结构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3900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元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/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平方米、砖木（石木）结构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3700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元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/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平方米、土木（穿斗）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3600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元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/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平方米的标准进行核算。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具体包括：房屋评估价值、林木包干补偿、临时安置补偿、停产停业损失补偿、搬迁补偿、签约奖励、搬迁奖励、全合法奖、货币补偿奖、住保补助、放弃营业用房补助、物业补助、住改非经营补助13项。2.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附属物及装饰装修补偿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（不含林木包干补偿）</w:t>
      </w:r>
      <w:r>
        <w:rPr>
          <w:rFonts w:hint="eastAsia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以原协议核算金额为准据实补偿。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）房票奖补资金。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按货币补偿资金的20%进行核算。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）超面积安置补助。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以产权户为单位，对原协议约定返还安置房面积超原拆迁面积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</w:rPr>
        <w:t>25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平方米以内（含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</w:rPr>
        <w:t>25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平方米）的进行补助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10平方米以内（含10平方米）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部分按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3500元/平方米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补助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平方米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以上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25平方米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以内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（含25平方米）部分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2700元/平方米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补助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超出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原拆迁面积25平方米以上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部分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不补助。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对原协议返还安置房面积未超原拆迁面积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25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平方米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的产权户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，购买商品房面积超出原拆迁面积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可按照上述标准累加享受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25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平方米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超面积安置补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助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补助资金纳入房票总金额。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第十二条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《乐至县人民政府关于印发乐至县县城规划区房屋拆迁管理（暂行）办法的通知》（乐府发〔2005〕67号）文件签订协议的未安置对象，原协议中约定了底层房屋安置的，按5万元/个标准进行补助，补助资金纳入房票总金额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第五章  房票使用规则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房票实行实名制，不得买卖、质押、非法套现，除父母、配偶、子女之外不得使用。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u w:val="none"/>
          <w:shd w:val="clear" w:color="auto" w:fill="FFFFFF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u w:val="none"/>
          <w:shd w:val="clear" w:color="auto" w:fill="FFFFFF"/>
        </w:rPr>
        <w:t xml:space="preserve">条 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被征收人应在房票开出之日起6个月内使用，超过6个月不再享受房票奖补资金。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u w:val="none"/>
          <w:shd w:val="clear" w:color="auto" w:fill="FFFFFF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u w:val="none"/>
          <w:shd w:val="clear" w:color="auto" w:fill="FFFFFF"/>
        </w:rPr>
        <w:t>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被征收人购买商品房实际成交金额至少达到房票总金额的90%，未达到90%的按90%计算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，剩余的房票结余资金可按比例扣除房票奖补资金后进行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货币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返现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。被征收人购买商品房实际成交金额超过房票总金额的部分，由被征收人承担。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330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条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 xml:space="preserve">  购买商品房所产生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维修资金、物业费、办证费等由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被征收人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自行负责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税收缴纳按照相关政策执行。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条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 xml:space="preserve">  被征收人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应开设个人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银行账户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，用于安置贷款资金结算。安置贷款资金结算期间，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被征收人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私自支取、挪用结算资金导致贷款无法正常结算，造成的一切后果由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被征收人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承担。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第六章  房票安置程序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条</w:t>
      </w: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以项目为单位，由县房屋征收部门拟定房票安置具体实施方案，报县政府审定后实施。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第十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由县房屋征收部门负责与被征收人签订《房票安置协议》；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已征收未安置对象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签订《房票安置协议》后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原《房屋征收安置补偿协议》解除。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第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十条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由县房屋征收部门根据《房票安置协议》向被征收人出具《房票价款确认书》。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第二十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>条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被征收人持《房票价款确认书》到房源池中自主选房，签订购房合同，再按商业按揭贷款流程办理相关手续，贷款协议期限为</w:t>
      </w:r>
      <w:r>
        <w:rPr>
          <w:rFonts w:hint="default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8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年。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第七章  工作保障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第二十二条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建立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由县委县政府分管联系领导和县级相关部门组成的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联席会议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制度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，科学制定具体实施方案，结合实际推动房票安置工作落实。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kern w:val="0"/>
          <w:sz w:val="32"/>
          <w:szCs w:val="32"/>
          <w:shd w:val="clear" w:color="auto" w:fill="FFFFFF"/>
        </w:rPr>
        <w:t xml:space="preserve">第二十三条 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房票安置所需资金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纳入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县财政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预算</w:t>
      </w: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予以保障。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第八章  法律责任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第二十四条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部门（单位）、个人和企业在实施房票安置过程中弄虚作假、虚报冒领和套取安置资金的，依法追究法律责任。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第二十五条 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县纪委监委、县公安局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县财政局、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县住建局、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县审计局、县市场监管局等部门对房票安置工作进行监督检查，发现问题坚决严肃追责问责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涉嫌犯罪的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移送司法机关追究刑事责任。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pacing w:val="0"/>
          <w:sz w:val="32"/>
          <w:szCs w:val="32"/>
          <w:shd w:val="clear" w:color="auto" w:fill="FFFFFF"/>
        </w:rPr>
        <w:t>第九章  附 则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2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>第二十六条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 xml:space="preserve">本办法由县房屋征收局负责解释。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spacing w:val="0"/>
          <w:szCs w:val="21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第二十七条 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本办法自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</w:rPr>
        <w:t>2023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日起施行，有效期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shd w:val="clear" w:color="auto" w:fill="FFFFFF"/>
        </w:rPr>
        <w:t>年。</w:t>
      </w:r>
    </w:p>
    <w:p>
      <w:pPr>
        <w:spacing w:line="660" w:lineRule="exact"/>
        <w:jc w:val="both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spacing w:line="660" w:lineRule="exact"/>
        <w:jc w:val="both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spacing w:line="660" w:lineRule="exact"/>
        <w:jc w:val="both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spacing w:line="660" w:lineRule="exact"/>
        <w:jc w:val="both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spacing w:line="660" w:lineRule="exact"/>
        <w:jc w:val="both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spacing w:line="660" w:lineRule="exact"/>
        <w:jc w:val="both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spacing w:line="590" w:lineRule="exact"/>
        <w:jc w:val="both"/>
        <w:rPr>
          <w:rFonts w:hint="default" w:ascii="Times New Roman" w:hAnsi="Times New Roman" w:eastAsia="方正黑体简体" w:cs="Times New Roman"/>
          <w:spacing w:val="0"/>
          <w:sz w:val="32"/>
          <w:szCs w:val="32"/>
        </w:rPr>
      </w:pPr>
    </w:p>
    <w:p>
      <w:pPr>
        <w:pStyle w:val="2"/>
        <w:rPr>
          <w:rFonts w:hint="default"/>
          <w:spacing w:val="0"/>
          <w:sz w:val="20"/>
          <w:szCs w:val="22"/>
        </w:rPr>
      </w:pPr>
    </w:p>
    <w:p>
      <w:pPr>
        <w:spacing w:line="590" w:lineRule="exact"/>
        <w:jc w:val="both"/>
        <w:rPr>
          <w:rFonts w:hint="default" w:ascii="Times New Roman" w:hAnsi="Times New Roman" w:eastAsia="方正黑体简体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spacing w:val="0"/>
          <w:sz w:val="28"/>
          <w:szCs w:val="28"/>
        </w:rPr>
        <w:t>信息公开选项：</w:t>
      </w:r>
      <w:r>
        <w:rPr>
          <w:rFonts w:hint="default" w:ascii="Times New Roman" w:hAnsi="Times New Roman" w:eastAsia="方正小标宋简体" w:cs="Times New Roman"/>
          <w:spacing w:val="0"/>
          <w:sz w:val="28"/>
          <w:szCs w:val="28"/>
        </w:rPr>
        <w:t>主动公开</w:t>
      </w:r>
    </w:p>
    <w:p>
      <w:pPr>
        <w:spacing w:line="590" w:lineRule="exact"/>
        <w:ind w:firstLine="280" w:firstLineChars="100"/>
        <w:jc w:val="both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25400</wp:posOffset>
                </wp:positionV>
                <wp:extent cx="5615940" cy="12700"/>
                <wp:effectExtent l="0" t="4445" r="381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2pt;height:1pt;width:442.2pt;z-index:251661312;mso-width-relative:page;mso-height-relative:page;" filled="f" stroked="t" coordsize="21600,21600" o:gfxdata="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IiPpX1QAAAAYBAAAPAAAAAAAAAAEAIAAAADgAAABkcnMvZG93bnJldi54&#10;bWxQSwECFAAUAAAACACHTuJAp80P7ucBAACtAwAADgAAAAAAAAABACAAAAA6AQAAZHJzL2Uyb0Rv&#10;Yy54bWxQSwUGAAAAAAYABgBZAQAAk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428625</wp:posOffset>
                </wp:positionV>
                <wp:extent cx="5615940" cy="12700"/>
                <wp:effectExtent l="0" t="6350" r="381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33.75pt;height:1pt;width:442.2pt;z-index:251660288;mso-width-relative:page;mso-height-relative:page;" filled="f" stroked="t" coordsize="21600,21600" o:gfxdata="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scXZn2QAAAAgBAAAPAAAAAAAAAAEAIAAAADgAAABkcnMvZG93bnJldi54&#10;bWxQSwECFAAUAAAACACHTuJA0F1dWOMBAACsAwAADgAAAAAAAAABACAAAAA+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pacing w:val="0"/>
          <w:sz w:val="28"/>
          <w:szCs w:val="28"/>
        </w:rPr>
        <w:t>乐至县人民政府办公室                    202</w:t>
      </w:r>
      <w:r>
        <w:rPr>
          <w:rFonts w:hint="eastAsia" w:ascii="Times New Roman" w:hAnsi="Times New Roman" w:eastAsia="方正仿宋简体" w:cs="Times New Roman"/>
          <w:spacing w:val="0"/>
          <w:sz w:val="28"/>
          <w:szCs w:val="28"/>
          <w:lang w:val="en-US" w:eastAsia="zh"/>
        </w:rPr>
        <w:t>3</w:t>
      </w:r>
      <w:r>
        <w:rPr>
          <w:rFonts w:hint="default" w:ascii="Times New Roman" w:hAnsi="Times New Roman" w:eastAsia="方正仿宋简体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spacing w:val="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pacing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28" w:left="1588" w:header="851" w:footer="15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M2Y1M2NkOTkzZDJiZmJjYmI4NzlkYjY0YmRhZWUifQ=="/>
  </w:docVars>
  <w:rsids>
    <w:rsidRoot w:val="000E5626"/>
    <w:rsid w:val="000E5626"/>
    <w:rsid w:val="00191623"/>
    <w:rsid w:val="003D2C2F"/>
    <w:rsid w:val="00510F27"/>
    <w:rsid w:val="005963BE"/>
    <w:rsid w:val="006119C3"/>
    <w:rsid w:val="00665232"/>
    <w:rsid w:val="007D5128"/>
    <w:rsid w:val="008768C5"/>
    <w:rsid w:val="008911DE"/>
    <w:rsid w:val="00BC6893"/>
    <w:rsid w:val="00C41733"/>
    <w:rsid w:val="00CE339A"/>
    <w:rsid w:val="00E16D57"/>
    <w:rsid w:val="00EA0E2E"/>
    <w:rsid w:val="00F27B1B"/>
    <w:rsid w:val="0E9E68DD"/>
    <w:rsid w:val="12256B2A"/>
    <w:rsid w:val="13D66B55"/>
    <w:rsid w:val="1EE93F77"/>
    <w:rsid w:val="21DC1211"/>
    <w:rsid w:val="3986639D"/>
    <w:rsid w:val="435D455B"/>
    <w:rsid w:val="49550E05"/>
    <w:rsid w:val="4FF77255"/>
    <w:rsid w:val="53EA2F55"/>
    <w:rsid w:val="5D5FDA1D"/>
    <w:rsid w:val="68E12C7C"/>
    <w:rsid w:val="6E2E2065"/>
    <w:rsid w:val="71A151BC"/>
    <w:rsid w:val="77CA6FCA"/>
    <w:rsid w:val="77FBF468"/>
    <w:rsid w:val="7DD9C58C"/>
    <w:rsid w:val="BD7C5EA3"/>
    <w:rsid w:val="D493B45E"/>
    <w:rsid w:val="DFC7E03C"/>
    <w:rsid w:val="FF5F9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 2"/>
    <w:basedOn w:val="1"/>
    <w:link w:val="11"/>
    <w:unhideWhenUsed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8">
    <w:name w:val="Body Text First Indent"/>
    <w:basedOn w:val="3"/>
    <w:unhideWhenUsed/>
    <w:qFormat/>
    <w:uiPriority w:val="99"/>
    <w:pPr>
      <w:spacing w:before="100" w:beforeAutospacing="1"/>
      <w:ind w:firstLine="420" w:firstLineChars="100"/>
    </w:pPr>
  </w:style>
  <w:style w:type="character" w:customStyle="1" w:styleId="11">
    <w:name w:val="正文文本缩进 2 Char"/>
    <w:basedOn w:val="10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5">
    <w:name w:val="fontstyle21"/>
    <w:basedOn w:val="10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2510</Words>
  <Characters>2574</Characters>
  <Lines>17</Lines>
  <Paragraphs>4</Paragraphs>
  <TotalTime>0</TotalTime>
  <ScaleCrop>false</ScaleCrop>
  <LinksUpToDate>false</LinksUpToDate>
  <CharactersWithSpaces>2696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2022-02-24T22:45:00Z</dcterms:created>
  <dc:creator>宋红林</dc:creator>
  <cp:lastModifiedBy>周琬祎</cp:lastModifiedBy>
  <cp:lastPrinted>2023-10-10T23:12:00Z</cp:lastPrinted>
  <dcterms:modified xsi:type="dcterms:W3CDTF">2023-10-17T11:10:21Z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FB8C60445A8A86EF98DE2365A5E149C1</vt:lpwstr>
  </property>
</Properties>
</file>